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Co. LCC Meeting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Date:6/18/2020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Members Present: Dawn Michel, Mista Lauber, Carlee LaRue, Julie Jensen-Kelley, Sharon Persons, Jen Christie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Guests: N/A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Introduction: Julie Jensen-Kelley at 12:16 PM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Acceptance of Agenda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Corrections: No July meeting date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Motion: Sharon Persons. 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2nd: Mista Lauber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Approved: Yes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Minutes: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 xml:space="preserve">Month: May 15, 2020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 xml:space="preserve">Corrections: N/A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Motion: Sharon Persons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2nd: Dawn Michel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Approved: Yes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Treasurer Report: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 xml:space="preserve">Balances: $18,904.87 year to date. $3,106.63 collected in May.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Motion: Mista Lauber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2nd: Dawn Michel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 xml:space="preserve">Approved: Yes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Consultant Report: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State wants us to call the group LCC (local coordinating council) instead of DFI (drug free indiana).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We have a new outline for the minutes that were sent by the state.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Youth questions for the survey are tabled. Mista emailed some questions for the adult survey.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Jessica was not in attendance but was looking into community events. This might be on hold with COVID-19.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Carlee and Julie met with state via telephone back in April. At that point, the drug test fees for the prosecutor’s office were intertwined with LCC/DFI funds. The funds have now been separated and the funds are reimbursed to our account.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Carlee submitted the new comprehensive plan and we are waiting for approval. Once it’s approved, Carlee can go to Commissioners/Council for approval.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Next meeting make a change bylaws and website from Whitley County Drug Free Indiana to LCC.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Next meeting: August 20th, 2020 at Parkview Whitley Classroom B, pending COVID-19.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Grantee Reports: N/A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 xml:space="preserve">Motion: Dawn Michel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 xml:space="preserve">Seconded: Sharon Persons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